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French govt messaging service breached in account hijacking attack</w:t>
      </w:r>
    </w:p>
    <w:p>
      <w:r>
        <w:rPr>
          <w:i/>
          <w:color w:val="4A6A88"/>
        </w:rPr>
        <w:t>French govt messaging service breached in account hijacking attack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PB-2569-0227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10 June 2026 / 07:25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https://ctithai.work/portal/docs/PB-2569-0227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BleepingComputer report.</w:t>
        <w:br/>
        <w:br/>
        <w:t>French govt messaging service breached in account hijacking attack</w:t>
        <w:br/>
        <w:br/>
        <w:t>Original source URL: https://www.bleepingcomputer.com/news/security/french-govt-messaging-service-breached-in-account-hijacking-attack/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BleepingComputer</w:t>
      </w:r>
    </w:p>
    <w:p>
      <w:r>
        <w:t>• URL: https://www.bleepingcomputer.com/news/security/french-govt-messaging-service-breached-in-account-hijacking-attack/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https://ctithai.work/verify/c991d4cf7f144c23</w:t>
      </w:r>
    </w:p>
    <w:p>
      <w:r>
        <w:t xml:space="preserve">Document mirror (CDN): </w:t>
      </w:r>
      <w:r>
        <w:rPr>
          <w:color w:val="1A4A7A"/>
          <w:u w:val="single"/>
        </w:rPr>
        <w:t>https://c991d4cf7f144c23.cdn.ctithai.work/iocs</w:t>
      </w:r>
    </w:p>
    <w:p/>
    <w:p>
      <w:r>
        <w:rPr>
          <w:i/>
          <w:color w:val="666666"/>
          <w:sz w:val="16"/>
        </w:rPr>
        <w:t>Document reference: c991d4cf7f144c23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c991d4cf7f144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